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B2" w:rsidRDefault="008055B2" w:rsidP="008055B2">
      <w:pPr>
        <w:pStyle w:val="2-OrtaBaslk"/>
        <w:spacing w:line="240" w:lineRule="exact"/>
        <w:ind w:left="708" w:firstLine="708"/>
        <w:jc w:val="left"/>
        <w:rPr>
          <w:rFonts w:hAnsi="Times New Roman"/>
          <w:bCs/>
          <w:sz w:val="18"/>
          <w:szCs w:val="18"/>
        </w:rPr>
      </w:pPr>
      <w:r>
        <w:rPr>
          <w:rFonts w:hAnsi="Times New Roman"/>
          <w:bCs/>
          <w:sz w:val="18"/>
          <w:szCs w:val="18"/>
        </w:rPr>
        <w:t>RESMİ GAZETE SAYISI:</w:t>
      </w:r>
      <w:r>
        <w:rPr>
          <w:rFonts w:hAnsi="Times New Roman"/>
          <w:bCs/>
          <w:sz w:val="18"/>
          <w:szCs w:val="18"/>
        </w:rPr>
        <w:tab/>
        <w:t>29384</w:t>
      </w:r>
      <w:r>
        <w:rPr>
          <w:rFonts w:hAnsi="Times New Roman"/>
          <w:bCs/>
          <w:sz w:val="18"/>
          <w:szCs w:val="18"/>
        </w:rPr>
        <w:tab/>
      </w:r>
      <w:r>
        <w:rPr>
          <w:rFonts w:hAnsi="Times New Roman"/>
          <w:bCs/>
          <w:sz w:val="18"/>
          <w:szCs w:val="18"/>
        </w:rPr>
        <w:tab/>
        <w:t>RESMİ GAZETE TARİHİ: 12.06.2015</w:t>
      </w:r>
      <w:bookmarkStart w:id="0" w:name="_GoBack"/>
      <w:bookmarkEnd w:id="0"/>
    </w:p>
    <w:p w:rsidR="008055B2" w:rsidRDefault="008055B2" w:rsidP="008055B2">
      <w:pPr>
        <w:pStyle w:val="OrtaBalkBold"/>
        <w:spacing w:before="56" w:line="240" w:lineRule="exact"/>
        <w:rPr>
          <w:sz w:val="24"/>
          <w:szCs w:val="24"/>
        </w:rPr>
      </w:pPr>
    </w:p>
    <w:p w:rsidR="008055B2" w:rsidRPr="008055B2" w:rsidRDefault="008055B2" w:rsidP="008055B2">
      <w:pPr>
        <w:pStyle w:val="OrtaBalkBold"/>
        <w:spacing w:before="56" w:line="240" w:lineRule="exact"/>
        <w:rPr>
          <w:sz w:val="24"/>
          <w:szCs w:val="24"/>
        </w:rPr>
      </w:pPr>
      <w:r w:rsidRPr="008055B2">
        <w:rPr>
          <w:sz w:val="24"/>
          <w:szCs w:val="24"/>
        </w:rPr>
        <w:t xml:space="preserve">KAMU İHALE GENEL TEBLİĞİNDE DEĞİŞİKLİK </w:t>
      </w:r>
    </w:p>
    <w:p w:rsidR="008055B2" w:rsidRPr="008055B2" w:rsidRDefault="008055B2" w:rsidP="008055B2">
      <w:pPr>
        <w:pStyle w:val="OrtaBalkBold"/>
        <w:spacing w:after="170" w:line="240" w:lineRule="exact"/>
        <w:rPr>
          <w:sz w:val="24"/>
          <w:szCs w:val="24"/>
        </w:rPr>
      </w:pPr>
      <w:r w:rsidRPr="008055B2">
        <w:rPr>
          <w:sz w:val="24"/>
          <w:szCs w:val="24"/>
        </w:rPr>
        <w:t>YAPILMASINA DAİR TEBLİĞ</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 xml:space="preserve">MADDE 1 – </w:t>
      </w:r>
      <w:proofErr w:type="gramStart"/>
      <w:r w:rsidRPr="008055B2">
        <w:rPr>
          <w:sz w:val="24"/>
          <w:szCs w:val="24"/>
        </w:rPr>
        <w:t>22/8/2009</w:t>
      </w:r>
      <w:proofErr w:type="gramEnd"/>
      <w:r w:rsidRPr="008055B2">
        <w:rPr>
          <w:sz w:val="24"/>
          <w:szCs w:val="24"/>
        </w:rPr>
        <w:t xml:space="preserve"> tarihli ve 27327 sayılı Resmî </w:t>
      </w:r>
      <w:proofErr w:type="spellStart"/>
      <w:r w:rsidRPr="008055B2">
        <w:rPr>
          <w:sz w:val="24"/>
          <w:szCs w:val="24"/>
        </w:rPr>
        <w:t>Gazete’de</w:t>
      </w:r>
      <w:proofErr w:type="spellEnd"/>
      <w:r w:rsidRPr="008055B2">
        <w:rPr>
          <w:sz w:val="24"/>
          <w:szCs w:val="24"/>
        </w:rPr>
        <w:t xml:space="preserve"> yayımlanan Kamu İhale Genel Tebliğinin 8.4 üncü maddesine “serbest muhasebeci mali müşavir” ibaresinden önce gelmek üzere “serbest muhasebeci veya”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2 –</w:t>
      </w:r>
      <w:r w:rsidRPr="008055B2">
        <w:rPr>
          <w:sz w:val="24"/>
          <w:szCs w:val="24"/>
        </w:rPr>
        <w:t xml:space="preserve"> Aynı Tebliğin 10.1.2 </w:t>
      </w:r>
      <w:proofErr w:type="spellStart"/>
      <w:r w:rsidRPr="008055B2">
        <w:rPr>
          <w:sz w:val="24"/>
          <w:szCs w:val="24"/>
        </w:rPr>
        <w:t>nci</w:t>
      </w:r>
      <w:proofErr w:type="spellEnd"/>
      <w:r w:rsidRPr="008055B2">
        <w:rPr>
          <w:sz w:val="24"/>
          <w:szCs w:val="24"/>
        </w:rPr>
        <w:t xml:space="preserve"> maddesine “yeminli mali müşavir” ibaresinden önce gelmek üzere “serbest muhasebeci,”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3 –</w:t>
      </w:r>
      <w:r w:rsidRPr="008055B2">
        <w:rPr>
          <w:sz w:val="24"/>
          <w:szCs w:val="24"/>
        </w:rPr>
        <w:t xml:space="preserve"> Aynı Tebliğin </w:t>
      </w:r>
      <w:proofErr w:type="gramStart"/>
      <w:r w:rsidRPr="008055B2">
        <w:rPr>
          <w:sz w:val="24"/>
          <w:szCs w:val="24"/>
        </w:rPr>
        <w:t>11.2</w:t>
      </w:r>
      <w:proofErr w:type="gramEnd"/>
      <w:r w:rsidRPr="008055B2">
        <w:rPr>
          <w:sz w:val="24"/>
          <w:szCs w:val="24"/>
        </w:rPr>
        <w:t xml:space="preserve"> </w:t>
      </w:r>
      <w:proofErr w:type="spellStart"/>
      <w:r w:rsidRPr="008055B2">
        <w:rPr>
          <w:sz w:val="24"/>
          <w:szCs w:val="24"/>
        </w:rPr>
        <w:t>nci</w:t>
      </w:r>
      <w:proofErr w:type="spellEnd"/>
      <w:r w:rsidRPr="008055B2">
        <w:rPr>
          <w:sz w:val="24"/>
          <w:szCs w:val="24"/>
        </w:rPr>
        <w:t xml:space="preserve">, 43.1 inci, 44.1 inci, 45.1.13.6 </w:t>
      </w:r>
      <w:proofErr w:type="spellStart"/>
      <w:r w:rsidRPr="008055B2">
        <w:rPr>
          <w:sz w:val="24"/>
          <w:szCs w:val="24"/>
        </w:rPr>
        <w:t>ncı</w:t>
      </w:r>
      <w:proofErr w:type="spellEnd"/>
      <w:r w:rsidRPr="008055B2">
        <w:rPr>
          <w:sz w:val="24"/>
          <w:szCs w:val="24"/>
        </w:rPr>
        <w:t xml:space="preserve">, 72.6 ve 79.2.2.7 </w:t>
      </w:r>
      <w:proofErr w:type="spellStart"/>
      <w:r w:rsidRPr="008055B2">
        <w:rPr>
          <w:sz w:val="24"/>
          <w:szCs w:val="24"/>
        </w:rPr>
        <w:t>nci</w:t>
      </w:r>
      <w:proofErr w:type="spellEnd"/>
      <w:r w:rsidRPr="008055B2">
        <w:rPr>
          <w:sz w:val="24"/>
          <w:szCs w:val="24"/>
        </w:rPr>
        <w:t xml:space="preserve"> maddelerine “YMM” ibaresinden önce gelmek üzere “SM,” ibaresi eklenmiştir.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4 –</w:t>
      </w:r>
      <w:r w:rsidRPr="008055B2">
        <w:rPr>
          <w:sz w:val="24"/>
          <w:szCs w:val="24"/>
        </w:rPr>
        <w:t xml:space="preserve"> Aynı Tebliğin </w:t>
      </w:r>
      <w:proofErr w:type="gramStart"/>
      <w:r w:rsidRPr="008055B2">
        <w:rPr>
          <w:sz w:val="24"/>
          <w:szCs w:val="24"/>
        </w:rPr>
        <w:t>45.1</w:t>
      </w:r>
      <w:proofErr w:type="gramEnd"/>
      <w:r w:rsidRPr="008055B2">
        <w:rPr>
          <w:sz w:val="24"/>
          <w:szCs w:val="24"/>
        </w:rPr>
        <w:t xml:space="preserve"> inci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5 –</w:t>
      </w:r>
      <w:r w:rsidRPr="008055B2">
        <w:rPr>
          <w:sz w:val="24"/>
          <w:szCs w:val="24"/>
        </w:rPr>
        <w:t xml:space="preserve"> Aynı Tebliğin </w:t>
      </w:r>
      <w:proofErr w:type="gramStart"/>
      <w:r w:rsidRPr="008055B2">
        <w:rPr>
          <w:sz w:val="24"/>
          <w:szCs w:val="24"/>
        </w:rPr>
        <w:t>78.2</w:t>
      </w:r>
      <w:proofErr w:type="gramEnd"/>
      <w:r w:rsidRPr="008055B2">
        <w:rPr>
          <w:sz w:val="24"/>
          <w:szCs w:val="24"/>
        </w:rPr>
        <w:t xml:space="preserve"> </w:t>
      </w:r>
      <w:proofErr w:type="spellStart"/>
      <w:r w:rsidRPr="008055B2">
        <w:rPr>
          <w:sz w:val="24"/>
          <w:szCs w:val="24"/>
        </w:rPr>
        <w:t>nci</w:t>
      </w:r>
      <w:proofErr w:type="spellEnd"/>
      <w:r w:rsidRPr="008055B2">
        <w:rPr>
          <w:sz w:val="24"/>
          <w:szCs w:val="24"/>
        </w:rPr>
        <w:t xml:space="preserve">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6 –</w:t>
      </w:r>
      <w:r w:rsidRPr="008055B2">
        <w:rPr>
          <w:sz w:val="24"/>
          <w:szCs w:val="24"/>
        </w:rPr>
        <w:t xml:space="preserve"> Aynı Tebliğin </w:t>
      </w:r>
      <w:proofErr w:type="gramStart"/>
      <w:r w:rsidRPr="008055B2">
        <w:rPr>
          <w:sz w:val="24"/>
          <w:szCs w:val="24"/>
        </w:rPr>
        <w:t>78.3</w:t>
      </w:r>
      <w:proofErr w:type="gramEnd"/>
      <w:r w:rsidRPr="008055B2">
        <w:rPr>
          <w:sz w:val="24"/>
          <w:szCs w:val="24"/>
        </w:rPr>
        <w:t xml:space="preserve"> üncü maddesi aşağıdaki şekilde değiştirilmiştir.</w:t>
      </w:r>
    </w:p>
    <w:p w:rsidR="008055B2" w:rsidRPr="008055B2" w:rsidRDefault="008055B2" w:rsidP="008055B2">
      <w:pPr>
        <w:pStyle w:val="Metin"/>
        <w:spacing w:line="240" w:lineRule="exact"/>
        <w:rPr>
          <w:sz w:val="24"/>
          <w:szCs w:val="24"/>
        </w:rPr>
      </w:pPr>
      <w:r w:rsidRPr="008055B2">
        <w:rPr>
          <w:sz w:val="24"/>
          <w:szCs w:val="24"/>
        </w:rPr>
        <w:t>“</w:t>
      </w:r>
      <w:r w:rsidRPr="008055B2">
        <w:rPr>
          <w:b/>
          <w:sz w:val="24"/>
          <w:szCs w:val="24"/>
        </w:rPr>
        <w:t>78.3</w:t>
      </w:r>
      <w:r w:rsidRPr="008055B2">
        <w:rPr>
          <w:sz w:val="24"/>
          <w:szCs w:val="24"/>
        </w:rPr>
        <w:t xml:space="preserve"> Personel çalıştırılmasına dayalı olmayan bir hizmet alımına ilişkin ihale dokümanında haftalık çalışma saatlerinin tamamını idarede geçirecek personel sayısının belirtilmesi halinde teklif fiyata </w:t>
      </w:r>
      <w:proofErr w:type="gramStart"/>
      <w:r w:rsidRPr="008055B2">
        <w:rPr>
          <w:sz w:val="24"/>
          <w:szCs w:val="24"/>
        </w:rPr>
        <w:t>dahil</w:t>
      </w:r>
      <w:proofErr w:type="gramEnd"/>
      <w:r w:rsidRPr="008055B2">
        <w:rPr>
          <w:sz w:val="24"/>
          <w:szCs w:val="24"/>
        </w:rPr>
        <w:t xml:space="preserve"> giderler arasında işçilik giderine yer verilmesi gerekmektedir.”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 xml:space="preserve">MADDE 7 – </w:t>
      </w:r>
      <w:r w:rsidRPr="008055B2">
        <w:rPr>
          <w:sz w:val="24"/>
          <w:szCs w:val="24"/>
        </w:rPr>
        <w:t xml:space="preserve">Aynı Tebliğin </w:t>
      </w:r>
      <w:proofErr w:type="gramStart"/>
      <w:r w:rsidRPr="008055B2">
        <w:rPr>
          <w:sz w:val="24"/>
          <w:szCs w:val="24"/>
        </w:rPr>
        <w:t>78.4</w:t>
      </w:r>
      <w:proofErr w:type="gramEnd"/>
      <w:r w:rsidRPr="008055B2">
        <w:rPr>
          <w:sz w:val="24"/>
          <w:szCs w:val="24"/>
        </w:rPr>
        <w:t xml:space="preserve"> üncü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8 –</w:t>
      </w:r>
      <w:r w:rsidRPr="008055B2">
        <w:rPr>
          <w:sz w:val="24"/>
          <w:szCs w:val="24"/>
        </w:rPr>
        <w:t xml:space="preserve"> Aynı Tebliğin 78.23 üncü maddesi yürürlükten kaldırılmıştır.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9 –</w:t>
      </w:r>
      <w:r w:rsidRPr="008055B2">
        <w:rPr>
          <w:sz w:val="24"/>
          <w:szCs w:val="24"/>
        </w:rPr>
        <w:t xml:space="preserve"> Aynı Tebliğe aşağıdaki geçici 6 </w:t>
      </w:r>
      <w:proofErr w:type="spellStart"/>
      <w:r w:rsidRPr="008055B2">
        <w:rPr>
          <w:sz w:val="24"/>
          <w:szCs w:val="24"/>
        </w:rPr>
        <w:t>ncı</w:t>
      </w:r>
      <w:proofErr w:type="spellEnd"/>
      <w:r w:rsidRPr="008055B2">
        <w:rPr>
          <w:sz w:val="24"/>
          <w:szCs w:val="24"/>
        </w:rPr>
        <w:t xml:space="preserve"> madde eklenmiştir.</w:t>
      </w:r>
    </w:p>
    <w:p w:rsidR="008055B2" w:rsidRPr="008055B2" w:rsidRDefault="008055B2" w:rsidP="008055B2">
      <w:pPr>
        <w:pStyle w:val="Metin"/>
        <w:spacing w:line="240" w:lineRule="exact"/>
        <w:rPr>
          <w:b/>
          <w:sz w:val="24"/>
          <w:szCs w:val="24"/>
        </w:rPr>
      </w:pPr>
      <w:r w:rsidRPr="008055B2">
        <w:rPr>
          <w:sz w:val="24"/>
          <w:szCs w:val="24"/>
        </w:rPr>
        <w:t>“</w:t>
      </w:r>
      <w:r w:rsidRPr="008055B2">
        <w:rPr>
          <w:b/>
          <w:sz w:val="24"/>
          <w:szCs w:val="24"/>
        </w:rPr>
        <w:t>Başlamış olan ihaleler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GEÇİCİ MADDE 6 –</w:t>
      </w:r>
      <w:r w:rsidRPr="008055B2">
        <w:rPr>
          <w:sz w:val="24"/>
          <w:szCs w:val="24"/>
        </w:rPr>
        <w:t xml:space="preserve"> (1) Bu maddenin yürürlüğe girdiği tarihten önce ilanı veya yazılı olarak duyurusu yapılmış olan ihaleler, bu maddeyi yürürlüğe koyan Tebliğin 5, 6 ve 7 </w:t>
      </w:r>
      <w:proofErr w:type="spellStart"/>
      <w:r w:rsidRPr="008055B2">
        <w:rPr>
          <w:sz w:val="24"/>
          <w:szCs w:val="24"/>
        </w:rPr>
        <w:t>nci</w:t>
      </w:r>
      <w:proofErr w:type="spellEnd"/>
      <w:r w:rsidRPr="008055B2">
        <w:rPr>
          <w:sz w:val="24"/>
          <w:szCs w:val="24"/>
        </w:rPr>
        <w:t xml:space="preserve"> maddelerinde yer alan hükümler uygulanmaksızın ilanın veya duyurunun yapıldığı tarihte yürürlükte olan Tebliğ hükümlerine göre sonuçlandırılır. Bu maddeyi yürürlüğe koyan Tebliğin diğer maddelerinde yer alan hükümler ise ilan veya duyuru tarihlerine bakılmaksızın bu maddenin yürürlüğe girdiği tarihten itibaren uygulanır.”</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10 –</w:t>
      </w:r>
      <w:r w:rsidRPr="008055B2">
        <w:rPr>
          <w:sz w:val="24"/>
          <w:szCs w:val="24"/>
        </w:rPr>
        <w:t xml:space="preserve"> Bu Tebliğ yayımı tarihinde yürürlüğe girer. </w:t>
      </w:r>
    </w:p>
    <w:p w:rsidR="008055B2" w:rsidRDefault="008055B2" w:rsidP="008055B2">
      <w:pPr>
        <w:pStyle w:val="Metin"/>
        <w:spacing w:line="240" w:lineRule="exact"/>
        <w:rPr>
          <w:b/>
          <w:sz w:val="24"/>
          <w:szCs w:val="24"/>
        </w:rPr>
      </w:pPr>
    </w:p>
    <w:p w:rsidR="008055B2" w:rsidRPr="008055B2" w:rsidRDefault="008055B2" w:rsidP="008055B2">
      <w:pPr>
        <w:pStyle w:val="Metin"/>
        <w:spacing w:line="240" w:lineRule="exact"/>
        <w:rPr>
          <w:sz w:val="24"/>
          <w:szCs w:val="24"/>
        </w:rPr>
      </w:pPr>
      <w:r w:rsidRPr="008055B2">
        <w:rPr>
          <w:b/>
          <w:sz w:val="24"/>
          <w:szCs w:val="24"/>
        </w:rPr>
        <w:t>MADDE 11 –</w:t>
      </w:r>
      <w:r w:rsidRPr="008055B2">
        <w:rPr>
          <w:sz w:val="24"/>
          <w:szCs w:val="24"/>
        </w:rPr>
        <w:t xml:space="preserve"> Bu Tebliğ hükümlerini Kamu İhale Kurumu Başkanı yürütür.</w:t>
      </w:r>
    </w:p>
    <w:p w:rsidR="00D93C4B" w:rsidRDefault="00D93C4B"/>
    <w:sectPr w:rsidR="00D9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0" w:usb1="00000000" w:usb2="01000407" w:usb3="00000000" w:csb0="00020000"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B2"/>
    <w:rsid w:val="008055B2"/>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8055B2"/>
    <w:pPr>
      <w:spacing w:after="0" w:line="240" w:lineRule="auto"/>
      <w:jc w:val="center"/>
    </w:pPr>
    <w:rPr>
      <w:rFonts w:ascii="Times New Roman" w:eastAsia="ヒラギノ明朝 Pro W3" w:hAnsi="Times" w:cs="Times New Roman"/>
      <w:b/>
      <w:sz w:val="19"/>
      <w:szCs w:val="20"/>
    </w:rPr>
  </w:style>
  <w:style w:type="paragraph" w:customStyle="1" w:styleId="OrtaBalkBold">
    <w:name w:val="Orta Başlık Bold"/>
    <w:rsid w:val="008055B2"/>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055B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8055B2"/>
    <w:pPr>
      <w:spacing w:after="0" w:line="240" w:lineRule="auto"/>
      <w:jc w:val="center"/>
    </w:pPr>
    <w:rPr>
      <w:rFonts w:ascii="Times New Roman" w:eastAsia="ヒラギノ明朝 Pro W3" w:hAnsi="Times" w:cs="Times New Roman"/>
      <w:b/>
      <w:sz w:val="19"/>
      <w:szCs w:val="20"/>
    </w:rPr>
  </w:style>
  <w:style w:type="paragraph" w:customStyle="1" w:styleId="OrtaBalkBold">
    <w:name w:val="Orta Başlık Bold"/>
    <w:rsid w:val="008055B2"/>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8055B2"/>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31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1</cp:revision>
  <dcterms:created xsi:type="dcterms:W3CDTF">2015-06-12T06:28:00Z</dcterms:created>
  <dcterms:modified xsi:type="dcterms:W3CDTF">2015-06-12T06:30:00Z</dcterms:modified>
</cp:coreProperties>
</file>